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«Международные стандарты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«Международные стандарты финансовой отчетности»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85.6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pPr>
              <w:jc w:val="both"/>
              <w:spacing w:after="0" w:line="240" w:lineRule="auto"/>
              <w:rPr>
                <w:sz w:val="24"/>
                <w:szCs w:val="24"/>
              </w:rPr>
            </w:pPr>
            <w:r>
              <w:rPr>
                <w:rFonts w:ascii="Times New Roman" w:hAnsi="Times New Roman" w:cs="Times New Roman"/>
                <w:color w:val="#000000"/>
                <w:sz w:val="24"/>
                <w:szCs w:val="24"/>
              </w:rPr>
              <w:t> 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События после отчетной даты. Оценка информации о последствиях событий после отчетной даты и порядок ее отражения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pPr>
              <w:jc w:val="both"/>
              <w:spacing w:after="0" w:line="240" w:lineRule="auto"/>
              <w:rPr>
                <w:sz w:val="24"/>
                <w:szCs w:val="24"/>
              </w:rPr>
            </w:pPr>
            <w:r>
              <w:rPr>
                <w:rFonts w:ascii="Times New Roman" w:hAnsi="Times New Roman" w:cs="Times New Roman"/>
                <w:color w:val="#000000"/>
                <w:sz w:val="24"/>
                <w:szCs w:val="24"/>
              </w:rPr>
              <w:t> Операционные сегменты. Формирование и представление информации по сегментам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Гиперинфляция. Признаки гиперинфляции.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853.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pPr>
              <w:jc w:val="both"/>
              <w:spacing w:after="0" w:line="240" w:lineRule="auto"/>
              <w:rPr>
                <w:sz w:val="24"/>
                <w:szCs w:val="24"/>
              </w:rPr>
            </w:pPr>
            <w:r>
              <w:rPr>
                <w:rFonts w:ascii="Times New Roman" w:hAnsi="Times New Roman" w:cs="Times New Roman"/>
                <w:color w:val="#000000"/>
                <w:sz w:val="24"/>
                <w:szCs w:val="24"/>
              </w:rPr>
              <w:t> 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pPr>
              <w:jc w:val="both"/>
              <w:spacing w:after="0" w:line="240" w:lineRule="auto"/>
              <w:rPr>
                <w:sz w:val="24"/>
                <w:szCs w:val="24"/>
              </w:rPr>
            </w:pPr>
            <w:r>
              <w:rPr>
                <w:rFonts w:ascii="Times New Roman" w:hAnsi="Times New Roman" w:cs="Times New Roman"/>
                <w:color w:val="#000000"/>
                <w:sz w:val="24"/>
                <w:szCs w:val="24"/>
              </w:rPr>
              <w:t> Финансовые активы и обязательства. Понятие финансового инструмента. Первичные и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pPr>
              <w:jc w:val="both"/>
              <w:spacing w:after="0" w:line="240" w:lineRule="auto"/>
              <w:rPr>
                <w:sz w:val="24"/>
                <w:szCs w:val="24"/>
              </w:rPr>
            </w:pPr>
            <w:r>
              <w:rPr>
                <w:rFonts w:ascii="Times New Roman" w:hAnsi="Times New Roman" w:cs="Times New Roman"/>
                <w:color w:val="#000000"/>
                <w:sz w:val="24"/>
                <w:szCs w:val="24"/>
              </w:rPr>
              <w:t> 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 обязательств и условных активов. Раскрытие информации в отчетности.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5055.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85.18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формирования консолидированной отчетности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Ассоциированная организация. Понятие ассоциированной организации. Понятие существенного  влияния  на  ассоциированную  организацию. Применение метода учета себестоимости по долевому участию.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Объединения бизнесов. Применение и сущность метода покупки: идентификация компании-покупателя, оценка стоимости объединения компаний, распределение (на дату приобретения) стоимости объединения компаний на приобретенные активы, принятые и условные обязательства. Оценка неконтролирующей доли участия. Порядок признания и оценки компанией-покупателем гудвила на дату приобретения. Последующая оценка и учет. Раскрытие информации.</w:t>
            </w:r>
          </w:p>
          <w:p>
            <w:pPr>
              <w:jc w:val="both"/>
              <w:spacing w:after="0" w:line="240" w:lineRule="auto"/>
              <w:rPr>
                <w:sz w:val="24"/>
                <w:szCs w:val="24"/>
              </w:rPr>
            </w:pPr>
            <w:r>
              <w:rPr>
                <w:rFonts w:ascii="Times New Roman" w:hAnsi="Times New Roman" w:cs="Times New Roman"/>
                <w:color w:val="#000000"/>
                <w:sz w:val="24"/>
                <w:szCs w:val="24"/>
              </w:rPr>
              <w:t> Консолидированная отчетность. Понятие и назначение консолидированной отчетности. Группа. Материнская организация. Дочерняя организация. Контроль как основа консолидации. Случаи освобождения от составления  консолидированной  отчетности. Процедура  составления консолидированной отчетности.</w:t>
            </w:r>
          </w:p>
          <w:p>
            <w:pPr>
              <w:jc w:val="both"/>
              <w:spacing w:after="0" w:line="240" w:lineRule="auto"/>
              <w:rPr>
                <w:sz w:val="24"/>
                <w:szCs w:val="24"/>
              </w:rPr>
            </w:pPr>
            <w:r>
              <w:rPr>
                <w:rFonts w:ascii="Times New Roman" w:hAnsi="Times New Roman" w:cs="Times New Roman"/>
                <w:color w:val="#000000"/>
                <w:sz w:val="24"/>
                <w:szCs w:val="24"/>
              </w:rPr>
              <w:t> Совместное предпринимательство. Понятие контроля, совместного контроля, совместной деятельности. Применение метода учета по долевому участию при подготовке финансовой отчетности в случае осуществления совместной деятельности.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Раскрытие информации об участии в других организациях.</w:t>
            </w:r>
          </w:p>
          <w:p>
            <w:pPr>
              <w:jc w:val="both"/>
              <w:spacing w:after="0" w:line="240" w:lineRule="auto"/>
              <w:rPr>
                <w:sz w:val="24"/>
                <w:szCs w:val="24"/>
              </w:rPr>
            </w:pPr>
            <w:r>
              <w:rPr>
                <w:rFonts w:ascii="Times New Roman" w:hAnsi="Times New Roman" w:cs="Times New Roman"/>
                <w:color w:val="#000000"/>
                <w:sz w:val="24"/>
                <w:szCs w:val="24"/>
              </w:rPr>
              <w:t> Отдельная финансовая отчетность. Учет инвестиций в дочерние, совместно контролируемые и ассоциированные организации в отдельной финансовой  отчетности. Метод  учета  инвестиций  по  себестоимости. Требования к раскрытию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финансовой отчетности с учетом отраслевых особенностей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Сельское хозяйство. Определения сельскохозяйственной деятельности, биологических активов, биотрансформации. Признание и модель учета биологических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Разведка и оценка запасов полезных ископаемых. Капитализируемые затраты на оценку и разведку, их признание и оценка. Проверка на обесценение. Реклассификация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Договоры страхования. Понятие договора страхования. Страховое обязательство. Страховой риск. Договор перестрахования. Признание и оценка. Раскрытие информации.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2024-2025_ФГОС3++2024_Бак-ОЗФО-Э(УАиА)(24)_plx_Международные стандарты финансовой отчетности</dc:title>
  <dc:creator>FastReport.NET</dc:creator>
</cp:coreProperties>
</file>